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1C" w:rsidRDefault="00AD33E3" w:rsidP="00404B1C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Тетюшский</w:t>
      </w:r>
      <w:proofErr w:type="spellEnd"/>
      <w:r w:rsidR="00404B1C">
        <w:rPr>
          <w:rFonts w:ascii="Times New Roman" w:hAnsi="Times New Roman" w:cs="Times New Roman"/>
          <w:b/>
          <w:sz w:val="28"/>
        </w:rPr>
        <w:t xml:space="preserve"> муниципальный район</w:t>
      </w:r>
    </w:p>
    <w:p w:rsidR="00404B1C" w:rsidRDefault="00404B1C" w:rsidP="00404B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Тестирование 11 – х классов</w:t>
      </w:r>
    </w:p>
    <w:p w:rsidR="00404B1C" w:rsidRDefault="00404B1C" w:rsidP="00404B1C">
      <w:pPr>
        <w:jc w:val="center"/>
      </w:pPr>
    </w:p>
    <w:p w:rsidR="00404B1C" w:rsidRDefault="00404B1C" w:rsidP="00404B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Обществознание</w:t>
      </w:r>
    </w:p>
    <w:p w:rsidR="00404B1C" w:rsidRDefault="00404B1C" w:rsidP="00404B1C">
      <w:pPr>
        <w:jc w:val="center"/>
        <w:sectPr w:rsidR="00404B1C" w:rsidSect="00404B1C">
          <w:pgSz w:w="11906" w:h="16838"/>
          <w:pgMar w:top="5102" w:right="850" w:bottom="1134" w:left="1701" w:header="708" w:footer="708" w:gutter="0"/>
          <w:cols w:space="708"/>
          <w:docGrid w:linePitch="360"/>
        </w:sectPr>
      </w:pPr>
    </w:p>
    <w:p w:rsidR="00404B1C" w:rsidRDefault="00404B1C" w:rsidP="00404B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Общая статистика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404B1C" w:rsidTr="00AD33E3">
        <w:trPr>
          <w:trHeight w:val="300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Минимальный проц.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вып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Максимальный проц.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вып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Ср. проц.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вып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Количество участников</w:t>
            </w:r>
          </w:p>
        </w:tc>
      </w:tr>
      <w:tr w:rsidR="00404B1C" w:rsidTr="00AD33E3">
        <w:trPr>
          <w:trHeight w:val="30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</w:tbl>
    <w:p w:rsidR="00404B1C" w:rsidRDefault="00404B1C" w:rsidP="00404B1C">
      <w:pPr>
        <w:jc w:val="center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  <w:gridCol w:w="2000"/>
      </w:tblGrid>
      <w:tr w:rsidR="00404B1C" w:rsidTr="00AD33E3">
        <w:trPr>
          <w:trHeight w:val="300"/>
          <w:jc w:val="center"/>
        </w:trPr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Не преодолели порог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Доля не преодолели порог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 и более %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Доля 80 и более %</w:t>
            </w:r>
          </w:p>
        </w:tc>
      </w:tr>
      <w:tr w:rsidR="00404B1C" w:rsidTr="00AD33E3">
        <w:trPr>
          <w:trHeight w:val="30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4B1C" w:rsidRDefault="00404B1C" w:rsidP="00404B1C">
            <w:pPr>
              <w:spacing w:after="0"/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404B1C" w:rsidRDefault="00404B1C" w:rsidP="00404B1C">
      <w:pPr>
        <w:jc w:val="center"/>
      </w:pPr>
    </w:p>
    <w:p w:rsidR="00404B1C" w:rsidRDefault="00404B1C" w:rsidP="00404B1C">
      <w:pPr>
        <w:jc w:val="center"/>
        <w:sectPr w:rsidR="00404B1C" w:rsidSect="00404B1C">
          <w:pgSz w:w="11906" w:h="16838"/>
          <w:pgMar w:top="567" w:right="850" w:bottom="1134" w:left="567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008F3F3A" wp14:editId="50F72053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91880B" wp14:editId="796EDB04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04B1C" w:rsidRDefault="00404B1C" w:rsidP="00404B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Статистика в разрезе общеобразовательных организаций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4"/>
        <w:gridCol w:w="1101"/>
        <w:gridCol w:w="1932"/>
        <w:gridCol w:w="1980"/>
        <w:gridCol w:w="1162"/>
      </w:tblGrid>
      <w:tr w:rsidR="00404B1C" w:rsidTr="00404B1C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Ср. проц.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вып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Минимальный проц.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вып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Максимальный проц.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вып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Количество участников</w:t>
            </w:r>
          </w:p>
        </w:tc>
      </w:tr>
      <w:tr w:rsidR="00404B1C" w:rsidTr="00404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Кильдюшевская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04B1C" w:rsidTr="00404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Тетюшская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кадетская школа-интернат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им.Хапаева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В.А."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04B1C" w:rsidTr="00404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Тетюшская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 1 им. Ханжина П. С."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</w:tbl>
    <w:p w:rsidR="00404B1C" w:rsidRDefault="00404B1C" w:rsidP="00404B1C">
      <w:pPr>
        <w:jc w:val="center"/>
        <w:sectPr w:rsidR="00404B1C" w:rsidSect="00404B1C">
          <w:pgSz w:w="11906" w:h="16838"/>
          <w:pgMar w:top="567" w:right="850" w:bottom="1134" w:left="567" w:header="708" w:footer="708" w:gutter="0"/>
          <w:cols w:space="708"/>
          <w:docGrid w:linePitch="360"/>
        </w:sectPr>
      </w:pPr>
    </w:p>
    <w:p w:rsidR="00404B1C" w:rsidRDefault="00404B1C" w:rsidP="00404B1C">
      <w:pPr>
        <w:jc w:val="center"/>
        <w:sectPr w:rsidR="00404B1C" w:rsidSect="00404B1C">
          <w:pgSz w:w="11906" w:h="16838"/>
          <w:pgMar w:top="567" w:right="850" w:bottom="1134" w:left="567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3D772DC0" wp14:editId="752F527C">
            <wp:extent cx="4572000" cy="17780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04B1C" w:rsidRDefault="00404B1C" w:rsidP="00404B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Доступность</w:t>
      </w:r>
    </w:p>
    <w:p w:rsidR="00404B1C" w:rsidRDefault="00404B1C" w:rsidP="00404B1C">
      <w:pPr>
        <w:jc w:val="center"/>
        <w:sectPr w:rsidR="00404B1C" w:rsidSect="00404B1C">
          <w:pgSz w:w="16838" w:h="11906" w:orient="landscape"/>
          <w:pgMar w:top="850" w:right="1134" w:bottom="567" w:left="567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281C516D" wp14:editId="1C86DFB6">
            <wp:extent cx="4572000" cy="53911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4B1C" w:rsidRDefault="00404B1C" w:rsidP="00404B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2"/>
        <w:gridCol w:w="1521"/>
        <w:gridCol w:w="1423"/>
        <w:gridCol w:w="1755"/>
        <w:gridCol w:w="750"/>
        <w:gridCol w:w="1228"/>
      </w:tblGrid>
      <w:tr w:rsidR="00404B1C" w:rsidTr="00404B1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Не преодолели порог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Доля не преодолели порог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 и более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Доля 80 и более %</w:t>
            </w:r>
          </w:p>
        </w:tc>
      </w:tr>
      <w:tr w:rsidR="00404B1C" w:rsidTr="00404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Тетюшская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 1 им. Ханжина П. С."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04B1C" w:rsidTr="00404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Тетюшская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кадетская школа-интернат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им.Хапаева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В.А."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04B1C" w:rsidTr="00404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Кильдюшевская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404B1C" w:rsidRDefault="00404B1C" w:rsidP="00404B1C">
      <w:pPr>
        <w:jc w:val="center"/>
        <w:sectPr w:rsidR="00404B1C" w:rsidSect="00404B1C">
          <w:pgSz w:w="11906" w:h="16838"/>
          <w:pgMar w:top="567" w:right="850" w:bottom="1134" w:left="567" w:header="708" w:footer="708" w:gutter="0"/>
          <w:cols w:space="708"/>
          <w:docGrid w:linePitch="360"/>
        </w:sectPr>
      </w:pPr>
    </w:p>
    <w:p w:rsidR="00404B1C" w:rsidRDefault="00404B1C" w:rsidP="00404B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Сравнительная информация по заданиям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7"/>
        <w:gridCol w:w="1134"/>
        <w:gridCol w:w="1843"/>
        <w:gridCol w:w="1695"/>
      </w:tblGrid>
      <w:tr w:rsidR="00404B1C" w:rsidTr="00AD33E3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Основные проверяемые требования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Балл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Количество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Доля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Знать и понимать: биосоциальную сущность человека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основные этапы и факторы социализации личности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место и роль человека в системе общественных отношений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закономерности развития общества как сложной самоорганизующейся системы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тенденции развития общества в целом как сложной динамичной системы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а также важнейших социальных институтов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основные социальные институты и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необходимость регулирования общественных отношений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сущность социальных норм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механизмы правового регулирования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социально-гуманитарного познания (выявление структурных элементов с помощью схем и таблиц)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57,89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Знать и понимать: биосоциальную сущность человека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основные этапы и факторы социализации личности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место и роль человека в системе общественных отношений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закономерности развития общества как сложной самоорганизующейся системы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тенденции развития общества в целом как сложной динамичной системы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а также важнейших социальных институтов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основные социальные институты и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необходимость регулирования общественных отношений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сущность социальных норм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механизмы правового регулирования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особенности социально-гуманитарного познания (выбор обобщающего понятия для всех остальных понятий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представленных в перечне)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68,42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Знать и понимать: биосоциальную сущность человека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основные этапы и факторы социализации личности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место и роль человека в системе общественных отношений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закономерности развития общества как сложной самоорганизующейся системы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тенденции развития общества в целом как сложной динамичной системы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а также важнейших социальных институтов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основные социальные институты и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необходимость регулирования общественных отношений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сущность социальных норм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механизмы правового регулирования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особенности социально-гуманитарного познания (соотнесение видовых понятий с родовыми)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68,42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68,42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Анализировать актуальную информацию о социальных объектах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выявляя их общие черты и различия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устанавливать соответствия между существенными </w:t>
            </w:r>
            <w:r>
              <w:rPr>
                <w:rFonts w:ascii="Calibri" w:hAnsi="Calibri" w:cs="Calibri"/>
                <w:color w:val="000000"/>
              </w:rPr>
              <w:lastRenderedPageBreak/>
              <w:t>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57,89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47,37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52,63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Анализировать актуальную информацию о социальных объектах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выявляя их общие черты и различия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57,89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Осуществлять поиск социальной информации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представленной в различных знаковых системах (рисунок)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52,63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47,37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Осуществлять поиск социальной информации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представленной в различных знаковых системах (таблица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диаграмма)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78,95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78,95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Анализировать актуальную информацию о социальных объектах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выявляя их общие черты и различия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52,63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основы конституционного строя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права и свободы человека и гражданина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конституционные обязанности гражданина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68,42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Анализировать актуальную информацию о социальных объектах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выявляя их общие черты и различия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Систематизировать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анализировать и обобщать неупорядоченную социальную информацию (определение терминов и понятий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соответствующих предлагаемому контексту)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Осуществлять поиск социальной информации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извлекать из неадаптированных оригинальных текстов (правовых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научно-популярных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публицистических и др.) знания по заданным темам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систематизировать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анализировать и обобщать неупорядоченную социальную информацию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47,37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52,63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Осуществлять поиск социальной информации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извлекать из неадаптированных оригинальных текстов (правовых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научно-популярных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публицистических и др.) знания по заданным темам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систематизировать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анализировать и обобщать неупорядоченную социальную информацию. Объяснять внутренние и внешние связи (причинно-следственные и функциональные) изученных социальных объектов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84,21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 экономических и гуманитарных наук.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47,37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Объяснять внутренние и внешние связи (причинно-следственные и функциональные) изученных социальных объектов. Оценивать действия субъектов социальной жизни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включая личность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группы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организации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 точки зрения социальных норм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экономической рациональности. Формулировать на основе приобретенных </w:t>
            </w:r>
            <w:r>
              <w:rPr>
                <w:rFonts w:ascii="Calibri" w:hAnsi="Calibri" w:cs="Calibri"/>
                <w:color w:val="000000"/>
              </w:rPr>
              <w:lastRenderedPageBreak/>
              <w:t>обществоведческих знаний собственные суждения и аргументы по определенным проблемам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47,37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 (задание на раскрытие смысла понятия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использование понятия в заданном </w:t>
            </w:r>
            <w:proofErr w:type="gramStart"/>
            <w:r>
              <w:rPr>
                <w:rFonts w:ascii="Calibri" w:hAnsi="Calibri" w:cs="Calibri"/>
                <w:color w:val="000000"/>
              </w:rPr>
              <w:t>контексте)-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раскрытие смысла понятия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68,42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 (задание на раскрытие смысла понятия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использование понятия в заданном </w:t>
            </w:r>
            <w:proofErr w:type="gramStart"/>
            <w:r>
              <w:rPr>
                <w:rFonts w:ascii="Calibri" w:hAnsi="Calibri" w:cs="Calibri"/>
                <w:color w:val="000000"/>
              </w:rPr>
              <w:t>контексте)-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наличие и качество предложений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содержащих информацию о различных аспектах понятия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68,42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Раскрывать на примерах изученные теоретические положения и понятия социально-экономических и гуманитарных наук (задание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предполагающее раскрытие теоретических положений на примерах)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52,63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 (задание-задача)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31,58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52,63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Подготавливать аннотацию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рецензию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реферат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творческую работу (задание на составление плана доклада по определенной </w:t>
            </w:r>
            <w:proofErr w:type="gramStart"/>
            <w:r>
              <w:rPr>
                <w:rFonts w:ascii="Calibri" w:hAnsi="Calibri" w:cs="Calibri"/>
                <w:color w:val="000000"/>
              </w:rPr>
              <w:t>теме)-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раскрытие темы по существу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Подготавливать аннотацию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рецензию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реферат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творческую работу (задание на составление плана доклада по определенной теме) - корректность формулировок пунктов и подпунктов плана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системы. Анализировать актуальную информацию о социальных объектах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выявляя их общие черты и различия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 </w:t>
            </w:r>
            <w:r>
              <w:rPr>
                <w:rFonts w:ascii="Calibri" w:hAnsi="Calibri" w:cs="Calibri"/>
                <w:color w:val="000000"/>
              </w:rPr>
              <w:lastRenderedPageBreak/>
              <w:t>Раскрывать на примерах изученные теоретические положения и понятия социально-экономических и гуманитарных наук. Оценивать действия субъектов социальной жизни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включая личность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группы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организации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 точки зрения социальных норм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 - раскрытие смысла высказывания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системы. Анализировать актуальную информацию о социальных объектах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выявляя их общие черты и различия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социально-экономических и гуманитарных наук. Оценивать действия субъектов социальной жизни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включая личность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группы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организации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 точки зрения социальных норм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 - теоретическое содержание мини-сочинения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системы. Анализировать актуальную информацию о социальных объектах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выявляя их общие черты и различия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социально-экономических и гуманитарных наук. Оценивать действия субъектов социальной жизни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включая личность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группы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организации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 точки зрения социальных норм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 - теоретическое содержание мини-сочинения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Характеризовать с научных позиций основные социальные объекты (факты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явления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процессы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институты)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их место и значение в жизни общества как целостной системы. </w:t>
            </w:r>
            <w:r>
              <w:rPr>
                <w:rFonts w:ascii="Calibri" w:hAnsi="Calibri" w:cs="Calibri"/>
                <w:color w:val="000000"/>
              </w:rPr>
              <w:lastRenderedPageBreak/>
              <w:t>Анализировать актуальную информацию о социальных объектах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выявляя их общие черты и различия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социально-экономических и гуманитарных наук. Оценивать действия субъектов социальной жизни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включая личность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группы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организации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с точки зрения социальных норм</w:t>
            </w:r>
            <w:r w:rsidR="00AD33E3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 - качество приводимых социальных фактов и примеров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21,05</w:t>
            </w:r>
          </w:p>
        </w:tc>
      </w:tr>
      <w:tr w:rsidR="00404B1C" w:rsidTr="00AD33E3">
        <w:trPr>
          <w:trHeight w:val="300"/>
        </w:trPr>
        <w:tc>
          <w:tcPr>
            <w:tcW w:w="5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Default="00404B1C" w:rsidP="00404B1C">
            <w:pPr>
              <w:ind w:left="57" w:right="5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4B1C" w:rsidRDefault="00404B1C" w:rsidP="00AC1D9F">
            <w:pPr>
              <w:ind w:left="57" w:right="5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</w:tr>
    </w:tbl>
    <w:p w:rsidR="00AC1D9F" w:rsidRDefault="00AC1D9F" w:rsidP="00404B1C">
      <w:pPr>
        <w:jc w:val="center"/>
      </w:pPr>
    </w:p>
    <w:p w:rsidR="00AC1D9F" w:rsidRPr="00AC1D9F" w:rsidRDefault="00AC1D9F" w:rsidP="00AC1D9F"/>
    <w:p w:rsidR="00AC1D9F" w:rsidRDefault="00AC1D9F" w:rsidP="00AC1D9F"/>
    <w:p w:rsidR="00AF3EE3" w:rsidRDefault="00AC1D9F" w:rsidP="00AC1D9F">
      <w:pPr>
        <w:tabs>
          <w:tab w:val="left" w:pos="3555"/>
        </w:tabs>
      </w:pPr>
      <w:r>
        <w:tab/>
      </w:r>
      <w:bookmarkStart w:id="0" w:name="_GoBack"/>
      <w:bookmarkEnd w:id="0"/>
    </w:p>
    <w:sectPr w:rsidR="00AF3EE3" w:rsidSect="00404B1C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1C"/>
    <w:rsid w:val="00404B1C"/>
    <w:rsid w:val="00AC1D9F"/>
    <w:rsid w:val="00AD33E3"/>
    <w:rsid w:val="00A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71AD8-C04B-489E-AFDC-04BE792A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Лист1!$E$3:$F$3</c:f>
              <c:strCache>
                <c:ptCount val="2"/>
                <c:pt idx="0">
                  <c:v>Доля 80 и более %</c:v>
                </c:pt>
                <c:pt idx="1">
                  <c:v>Доля менее 80 %</c:v>
                </c:pt>
              </c:strCache>
            </c:strRef>
          </c:cat>
          <c:val>
            <c:numRef>
              <c:f>Лист1!$E$4:$F$4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/>
      <c:overlay val="0"/>
      <c:txPr>
        <a:bodyPr/>
        <a:lstStyle/>
        <a:p>
          <a:pPr>
            <a:defRPr sz="1000" b="0"/>
          </a:pPr>
          <a:endParaRPr lang="ru-RU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Лист1!$G$3:$H$3</c:f>
              <c:strCache>
                <c:ptCount val="2"/>
                <c:pt idx="0">
                  <c:v>Доля не преодолели порог</c:v>
                </c:pt>
                <c:pt idx="1">
                  <c:v>Доля преодолели порог</c:v>
                </c:pt>
              </c:strCache>
            </c:strRef>
          </c:cat>
          <c:val>
            <c:numRef>
              <c:f>Лист1!$G$4:$H$4</c:f>
              <c:numCache>
                <c:formatCode>General</c:formatCode>
                <c:ptCount val="2"/>
                <c:pt idx="0">
                  <c:v>31.58</c:v>
                </c:pt>
                <c:pt idx="1">
                  <c:v>68.42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/>
      <c:overlay val="0"/>
      <c:txPr>
        <a:bodyPr/>
        <a:lstStyle/>
        <a:p>
          <a:pPr>
            <a:defRPr sz="1000" b="0"/>
          </a:pPr>
          <a:endParaRPr lang="ru-RU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Лист1!$B$9</c:f>
              <c:strCache>
                <c:ptCount val="1"/>
                <c:pt idx="0">
                  <c:v>Ср. проц. вып.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Лист1!$A$10:$A$12</c:f>
              <c:strCache>
                <c:ptCount val="3"/>
                <c:pt idx="0">
                  <c:v>МБОУ "Кильдюшевская СОШ"</c:v>
                </c:pt>
                <c:pt idx="1">
                  <c:v>ГБОУ "Тетюшская кадетская школа-интернат им.Хапаева В.А."</c:v>
                </c:pt>
                <c:pt idx="2">
                  <c:v>МБОУ "Тетюшская СОШ № 1 им. Ханжина П. С."</c:v>
                </c:pt>
              </c:strCache>
            </c:strRef>
          </c:cat>
          <c:val>
            <c:numRef>
              <c:f>Лист1!$B$10:$B$12</c:f>
              <c:numCache>
                <c:formatCode>General</c:formatCode>
                <c:ptCount val="3"/>
                <c:pt idx="0">
                  <c:v>30.77</c:v>
                </c:pt>
                <c:pt idx="1">
                  <c:v>31.54</c:v>
                </c:pt>
                <c:pt idx="2">
                  <c:v>42.36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95330016"/>
        <c:axId val="95330576"/>
      </c:barChart>
      <c:catAx>
        <c:axId val="95330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95330576"/>
        <c:crosses val="autoZero"/>
        <c:auto val="1"/>
        <c:lblAlgn val="ctr"/>
        <c:lblOffset val="100"/>
        <c:noMultiLvlLbl val="0"/>
      </c:catAx>
      <c:valAx>
        <c:axId val="9533057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95330016"/>
        <c:crosses val="autoZero"/>
        <c:crossBetween val="between"/>
      </c:valAx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Лист1!$B$13</c:f>
              <c:strCache>
                <c:ptCount val="1"/>
                <c:pt idx="0">
                  <c:v>Минимальный проц. вып.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  <a:extLst>
              <a:ext uri="{91240B29-F687-4F45-9708-019B960494DF}">
                <a14:hiddenLine xmlns:a14="http://schemas.microsoft.com/office/drawing/2010/main" w="19050" cap="rnd" cmpd="sng" algn="ctr">
                  <a:solidFill>
                    <a:srgbClr val="5B9BD5"/>
                  </a:solidFill>
                  <a:prstDash val="solid"/>
                  <a:round/>
                </a14:hiddenLine>
              </a:ext>
            </a:extLst>
          </c:spPr>
          <c:marker>
            <c:symbol val="dash"/>
            <c:size val="15"/>
            <c:spPr>
              <a:solidFill>
                <a:srgbClr val="C00000"/>
              </a:solidFill>
              <a:ln w="25400">
                <a:noFill/>
              </a:ln>
              <a:effectLst/>
              <a:extLst>
                <a:ext uri="{91240B29-F687-4F45-9708-019B960494DF}">
                  <a14:hiddenLine xmlns:a14="http://schemas.microsoft.com/office/drawing/2010/main" w="6350" cap="flat" cmpd="sng" algn="ctr">
                    <a:solidFill>
                      <a:srgbClr val="5B9BD5"/>
                    </a:solidFill>
                    <a:prstDash val="solid"/>
                    <a:round/>
                  </a14:hiddenLine>
                </a:ext>
              </a:extLst>
            </c:spPr>
          </c:marker>
          <c:dLbls>
            <c:dLbl>
              <c:idx val="1"/>
              <c:layout>
                <c:manualLayout>
                  <c:x val="-6.9132108486439192E-2"/>
                  <c:y val="5.39398829563264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Лист1!$A$14:$A$16</c:f>
              <c:strCache>
                <c:ptCount val="3"/>
                <c:pt idx="0">
                  <c:v>МБОУ "Кильдюшевская СОШ"</c:v>
                </c:pt>
                <c:pt idx="1">
                  <c:v>ГБОУ "Тетюшская кадетская школа-интернат им.Хапаева В.А."</c:v>
                </c:pt>
                <c:pt idx="2">
                  <c:v>МБОУ "Тетюшская СОШ № 1 им. Ханжина П. С."</c:v>
                </c:pt>
              </c:strCache>
            </c:strRef>
          </c:cat>
          <c:val>
            <c:numRef>
              <c:f>Лист1!$B$14:$B$16</c:f>
              <c:numCache>
                <c:formatCode>General</c:formatCode>
                <c:ptCount val="3"/>
                <c:pt idx="0">
                  <c:v>24.62</c:v>
                </c:pt>
                <c:pt idx="1">
                  <c:v>30.77</c:v>
                </c:pt>
                <c:pt idx="2">
                  <c:v>21.54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Лист1!$C$13</c:f>
              <c:strCache>
                <c:ptCount val="1"/>
                <c:pt idx="0">
                  <c:v>Максимальный проц. вып.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  <a:extLst>
              <a:ext uri="{91240B29-F687-4F45-9708-019B960494DF}">
                <a14:hiddenLine xmlns:a14="http://schemas.microsoft.com/office/drawing/2010/main" w="19050" cap="rnd" cmpd="sng" algn="ctr">
                  <a:solidFill>
                    <a:srgbClr val="ED7D31"/>
                  </a:solidFill>
                  <a:prstDash val="solid"/>
                  <a:round/>
                </a14:hiddenLine>
              </a:ext>
            </a:extLst>
          </c:spPr>
          <c:marker>
            <c:symbol val="dash"/>
            <c:size val="15"/>
            <c:spPr>
              <a:solidFill>
                <a:srgbClr val="307500"/>
              </a:solidFill>
              <a:ln w="25400">
                <a:noFill/>
              </a:ln>
              <a:effectLst/>
              <a:extLst>
                <a:ext uri="{91240B29-F687-4F45-9708-019B960494DF}">
                  <a14:hiddenLine xmlns:a14="http://schemas.microsoft.com/office/drawing/2010/main" w="6350" cap="flat" cmpd="sng" algn="ctr">
                    <a:solidFill>
                      <a:srgbClr val="ED7D31"/>
                    </a:solidFill>
                    <a:prstDash val="solid"/>
                    <a:round/>
                  </a14:hiddenLine>
                </a:ext>
              </a:extLst>
            </c:spPr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Лист1!$A$14:$A$16</c:f>
              <c:strCache>
                <c:ptCount val="3"/>
                <c:pt idx="0">
                  <c:v>МБОУ "Кильдюшевская СОШ"</c:v>
                </c:pt>
                <c:pt idx="1">
                  <c:v>ГБОУ "Тетюшская кадетская школа-интернат им.Хапаева В.А."</c:v>
                </c:pt>
                <c:pt idx="2">
                  <c:v>МБОУ "Тетюшская СОШ № 1 им. Ханжина П. С."</c:v>
                </c:pt>
              </c:strCache>
            </c:strRef>
          </c:cat>
          <c:val>
            <c:numRef>
              <c:f>Лист1!$C$14:$C$16</c:f>
              <c:numCache>
                <c:formatCode>General</c:formatCode>
                <c:ptCount val="3"/>
                <c:pt idx="0">
                  <c:v>36.92</c:v>
                </c:pt>
                <c:pt idx="1">
                  <c:v>32.31</c:v>
                </c:pt>
                <c:pt idx="2">
                  <c:v>72.31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2121568"/>
        <c:axId val="152122128"/>
      </c:lineChart>
      <c:catAx>
        <c:axId val="15212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52122128"/>
        <c:crosses val="autoZero"/>
        <c:auto val="1"/>
        <c:lblAlgn val="ctr"/>
        <c:lblOffset val="100"/>
        <c:noMultiLvlLbl val="0"/>
      </c:catAx>
      <c:valAx>
        <c:axId val="1521221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212156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1926</Words>
  <Characters>10983</Characters>
  <Application>Microsoft Office Word</Application>
  <DocSecurity>0</DocSecurity>
  <Lines>91</Lines>
  <Paragraphs>25</Paragraphs>
  <ScaleCrop>false</ScaleCrop>
  <Company/>
  <LinksUpToDate>false</LinksUpToDate>
  <CharactersWithSpaces>12884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Лилия А. Каримова</cp:lastModifiedBy>
  <cp:revision>3</cp:revision>
  <dcterms:created xsi:type="dcterms:W3CDTF">2019-03-28T13:31:00Z</dcterms:created>
  <dcterms:modified xsi:type="dcterms:W3CDTF">2019-03-29T05:48:00Z</dcterms:modified>
</cp:coreProperties>
</file>